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9.png" ContentType="image/png"/>
  <Override PartName="/word/media/rId93.png" ContentType="image/png"/>
  <Override PartName="/word/media/rId113.png" ContentType="image/png"/>
  <Override PartName="/word/media/rId117.png" ContentType="image/png"/>
  <Override PartName="/word/media/rId133.png" ContentType="image/png"/>
  <Override PartName="/word/media/rId109.png" ContentType="image/png"/>
  <Override PartName="/word/media/rId121.png" ContentType="image/png"/>
  <Override PartName="/word/media/rId125.png" ContentType="image/png"/>
  <Override PartName="/word/media/rId129.png" ContentType="image/png"/>
  <Override PartName="/word/media/rId97.png" ContentType="image/png"/>
  <Override PartName="/word/media/rId101.png" ContentType="image/png"/>
  <Override PartName="/word/media/rId105.png" ContentType="image/png"/>
  <Override PartName="/word/media/rId69.png" ContentType="image/png"/>
  <Override PartName="/word/media/rId73.png" ContentType="image/png"/>
  <Override PartName="/word/media/rId81.png" ContentType="image/png"/>
  <Override PartName="/word/media/rId85.png" ContentType="image/png"/>
  <Override PartName="/word/media/rId61.png" ContentType="image/png"/>
  <Override PartName="/word/media/rId33.jpg" ContentType="image/jpeg"/>
  <Override PartName="/word/media/rId45.jpg" ContentType="image/jpeg"/>
  <Override PartName="/word/media/rId49.jpg" ContentType="image/jpeg"/>
  <Override PartName="/word/media/rId53.png" ContentType="image/png"/>
  <Override PartName="/word/media/rId41.jpg" ContentType="image/jpeg"/>
  <Override PartName="/word/media/rId37.png" ContentType="image/png"/>
  <Override PartName="/word/media/rId65.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w:t>
      </w:r>
      <w:r>
        <w:t xml:space="preserve"> </w:t>
      </w:r>
      <w:r>
        <w:t xml:space="preserve">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w:t>
      </w:r>
      <w:r>
        <w:t xml:space="preserve"> </w:t>
      </w:r>
      <w:r>
        <w:t xml:space="preserve">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w:t>
      </w:r>
    </w:p>
    <w:bookmarkStart w:id="20" w:name="project-history"/>
    <w:p>
      <w:pPr>
        <w:pStyle w:val="Heading1"/>
      </w:pPr>
      <w:r>
        <w:t xml:space="preserve">Project history</w:t>
      </w:r>
    </w:p>
    <w:p>
      <w:pPr>
        <w:pStyle w:val="FirstParagraph"/>
      </w:pPr>
      <w:r>
        <w:t xml:space="preserve">During the first year of this project, we conducted several laboratory and field tests as outlined in our proposal. Significant developments included the testing of response time and power-saving strategies, development of the GEMS underwater mass spectrometer and pumping systems and an initial short field deployment, resulting in initial gradient estimates (</w:t>
      </w:r>
      <w:hyperlink w:anchor="fig-2021-gradients">
        <w:r>
          <w:rPr>
            <w:rStyle w:val="Hyperlink"/>
          </w:rPr>
          <w:t xml:space="preserve">Figure 9</w:t>
        </w:r>
      </w:hyperlink>
      <w:r>
        <w:t xml:space="preserve">).</w:t>
      </w:r>
    </w:p>
    <w:p>
      <w:pPr>
        <w:pStyle w:val="BodyText"/>
      </w:pPr>
      <w:r>
        <w:t xml:space="preserve">Developments in 2022 included a long-term deployment of the GEMS system including a solar and wind-powered surface platform (</w:t>
      </w:r>
      <w:hyperlink w:anchor="fig-barge">
        <w:r>
          <w:rPr>
            <w:rStyle w:val="Hyperlink"/>
          </w:rPr>
          <w:t xml:space="preserve">Figure 1</w:t>
        </w:r>
      </w:hyperlink>
      <w:r>
        <w:t xml:space="preserve">)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 Issues with QMS signal to noise ratio (</w:t>
      </w:r>
      <w:hyperlink w:anchor="fig-noise-comparison">
        <w:r>
          <w:rPr>
            <w:rStyle w:val="Hyperlink"/>
          </w:rPr>
          <w:t xml:space="preserve">Figure 11</w:t>
        </w:r>
      </w:hyperlink>
      <w:r>
        <w:t xml:space="preserve">), and with the gradient valve were resolved during the subsequent development period.</w:t>
      </w:r>
    </w:p>
    <w:p>
      <w:pPr>
        <w:pStyle w:val="BodyText"/>
      </w:pPr>
      <w:r>
        <w:t xml:space="preserve">During the third year of this project, we continued development and conducted laboratory tests to resolve issues and improve the GEMS system. Unanticipated departures from PI Long’s lab in 2023 included an engineer, a WHOI JP student, a research assistant, and a postdoc that led to substantial delays and loss of knowledge for this project. Work on signal to noise ratios in the mass spectrometer output led to a complete redesign of the GEMS lander electronics and extensive revision of the control software. We also redesigned and tested a new valve configuration to address issues during the 2022 deployment.</w:t>
      </w:r>
    </w:p>
    <w:p>
      <w:pPr>
        <w:pStyle w:val="BodyText"/>
      </w:pPr>
      <w:r>
        <w:t xml:space="preserve">In 2024, new personnel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We built a small chamber which which could be installed in eelgrass mesocosms (</w:t>
      </w:r>
      <w:hyperlink w:anchor="fig-label-setup">
        <w:r>
          <w:rPr>
            <w:rStyle w:val="Hyperlink"/>
          </w:rPr>
          <w:t xml:space="preserve">Figure 6</w:t>
        </w:r>
      </w:hyperlink>
      <w:r>
        <w:t xml:space="preserve">) to monitor the evolution of a pulse-label of</w:t>
      </w:r>
      <w:r>
        <w:t xml:space="preserve"> </w:t>
      </w:r>
      <w:r>
        <w:rPr>
          <w:vertAlign w:val="superscript"/>
        </w:rPr>
        <w:t xml:space="preserve">15</w:t>
      </w:r>
      <w:r>
        <w:t xml:space="preserve">N labeled nitrate to labeled nitrogen gas (</w:t>
      </w:r>
      <w:hyperlink w:anchor="fig-label-evolution">
        <w:r>
          <w:rPr>
            <w:rStyle w:val="Hyperlink"/>
          </w:rPr>
          <w:t xml:space="preserve">Figure 7</w:t>
        </w:r>
      </w:hyperlink>
      <w:r>
        <w:t xml:space="preserve">). recirculated water past the GEMS inlet membrane for continuous measurement of masses 28, 29, 30, and 40 (unlabeled, singly, and doubly labeled N2, and Argon, respectively). We used this system for a series of replicate experiments among eelgrass mesocosm treatments, allowing us to compare denitrification rates (</w:t>
      </w:r>
      <w:hyperlink w:anchor="fig-dn-rates">
        <w:r>
          <w:rPr>
            <w:rStyle w:val="Hyperlink"/>
          </w:rPr>
          <w:t xml:space="preserve">Figure 8</w:t>
        </w:r>
      </w:hyperlink>
      <w:r>
        <w:t xml:space="preserve">). This development may lead to direct, automated measurements of denitrification in the field during future GEMS deployments.</w:t>
      </w:r>
    </w:p>
    <w:p>
      <w:pPr>
        <w:pStyle w:val="BodyText"/>
      </w:pPr>
      <w:r>
        <w:t xml:space="preserve">The final deployment in the summer of 2025 was 4 months in duration and tested a new lander platform (</w:t>
      </w:r>
      <w:hyperlink w:anchor="fig-lander">
        <w:r>
          <w:rPr>
            <w:rStyle w:val="Hyperlink"/>
          </w:rPr>
          <w:t xml:space="preserve">Figure 3</w:t>
        </w:r>
      </w:hyperlink>
      <w:r>
        <w:t xml:space="preserve">), improved control and data acquisition systems, a new pump and gradient valve system, a new telemetry data system and accompanying web dashboard (</w:t>
      </w:r>
      <w:hyperlink w:anchor="fig-status">
        <w:r>
          <w:rPr>
            <w:rStyle w:val="Hyperlink"/>
          </w:rPr>
          <w:t xml:space="preserve">Figure 2</w:t>
        </w:r>
      </w:hyperlink>
      <w:r>
        <w:t xml:space="preserve">), and a new data reduction pipeline to handle more data from longer deployments reproducibly. The methods and results below cover the system as used in 2025.</w:t>
      </w:r>
    </w:p>
    <w:bookmarkEnd w:id="20"/>
    <w:bookmarkStart w:id="27" w:name="gems-methods"/>
    <w:p>
      <w:pPr>
        <w:pStyle w:val="Heading1"/>
      </w:pPr>
      <w:r>
        <w:t xml:space="preserve">GEMS Methods</w:t>
      </w:r>
    </w:p>
    <w:bookmarkStart w:id="21"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3D printed frame and adapter.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1"/>
    <w:bookmarkStart w:id="22"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analyzed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2"/>
    <w:bookmarkStart w:id="26"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3"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3"/>
    </w:p>
    <w:p>
      <w:pPr>
        <w:pStyle w:val="FirstParagraph"/>
      </w:pPr>
      <w:bookmarkStart w:id="24"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4"/>
    </w:p>
    <w:p>
      <w:pPr>
        <w:pStyle w:val="FirstParagraph"/>
      </w:pPr>
      <w:bookmarkStart w:id="25"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5"/>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6"/>
    <w:bookmarkEnd w:id="27"/>
    <w:bookmarkStart w:id="32" w:name="results"/>
    <w:p>
      <w:pPr>
        <w:pStyle w:val="Heading1"/>
      </w:pPr>
      <w:r>
        <w:t xml:space="preserve">Results</w:t>
      </w:r>
    </w:p>
    <w:p>
      <w:pPr>
        <w:pStyle w:val="FirstParagraph"/>
      </w:pPr>
      <w:r>
        <w:t xml:space="preserve">The summer 2025 deployment</w:t>
      </w:r>
    </w:p>
    <w:bookmarkStart w:id="28" w:name="qms-data"/>
    <w:p>
      <w:pPr>
        <w:pStyle w:val="Heading2"/>
      </w:pPr>
      <w:r>
        <w:t xml:space="preserve">QMS data</w:t>
      </w:r>
    </w:p>
    <w:p>
      <w:pPr>
        <w:pStyle w:val="FirstParagraph"/>
      </w:pPr>
      <w:r>
        <w:t xml:space="preserve">Mass trace data</w:t>
      </w:r>
      <w:r>
        <w:t xml:space="preserve"> </w:t>
      </w:r>
      <w:r>
        <w:t xml:space="preserve">noise reduction</w:t>
      </w:r>
      <w:r>
        <w:t xml:space="preserve"> </w:t>
      </w:r>
      <w:r>
        <w:t xml:space="preserve">argon normalization</w:t>
      </w:r>
      <w:r>
        <w:t xml:space="preserve"> </w:t>
      </w:r>
      <w:r>
        <w:t xml:space="preserve">oxygen signal (gradients)</w:t>
      </w:r>
    </w:p>
    <w:bookmarkEnd w:id="28"/>
    <w:bookmarkStart w:id="29" w:name="calibration"/>
    <w:p>
      <w:pPr>
        <w:pStyle w:val="Heading2"/>
      </w:pPr>
      <w:r>
        <w:t xml:space="preserve">Calibration</w:t>
      </w:r>
    </w:p>
    <w:p>
      <w:pPr>
        <w:pStyle w:val="FirstParagraph"/>
      </w:pPr>
      <w:r>
        <w:t xml:space="preserve">cal fit</w:t>
      </w:r>
      <w:r>
        <w:t xml:space="preserve"> </w:t>
      </w:r>
      <w:r>
        <w:t xml:space="preserve">cal compare</w:t>
      </w:r>
    </w:p>
    <w:bookmarkEnd w:id="29"/>
    <w:bookmarkStart w:id="30" w:name="gradients-and-fluxes"/>
    <w:p>
      <w:pPr>
        <w:pStyle w:val="Heading2"/>
      </w:pPr>
      <w:r>
        <w:t xml:space="preserve">Gradients and fluxes</w:t>
      </w:r>
    </w:p>
    <w:bookmarkEnd w:id="30"/>
    <w:bookmarkStart w:id="31" w:name="eelgrass-growth-data"/>
    <w:p>
      <w:pPr>
        <w:pStyle w:val="Heading2"/>
      </w:pPr>
      <w:r>
        <w:t xml:space="preserve">Eelgrass growth data</w:t>
      </w:r>
    </w:p>
    <w:bookmarkEnd w:id="31"/>
    <w:bookmarkEnd w:id="32"/>
    <w:bookmarkStart w:id="152"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6" w:name="fig-barge"/>
          <w:p>
            <w:pPr>
              <w:pStyle w:val="Compact"/>
              <w:jc w:val="center"/>
            </w:pPr>
            <w:r>
              <w:drawing>
                <wp:inline>
                  <wp:extent cx="5889567" cy="4418214"/>
                  <wp:effectExtent b="0" l="0" r="0" t="0"/>
                  <wp:docPr descr="" title="" id="34" name="Picture"/>
                  <a:graphic>
                    <a:graphicData uri="http://schemas.openxmlformats.org/drawingml/2006/picture">
                      <pic:pic>
                        <pic:nvPicPr>
                          <pic:cNvPr descr="report_photos/gems_barge.jpg" id="35" name="Picture"/>
                          <pic:cNvPicPr>
                            <a:picLocks noChangeArrowheads="1" noChangeAspect="1"/>
                          </pic:cNvPicPr>
                        </pic:nvPicPr>
                        <pic:blipFill>
                          <a:blip r:embed="rId33"/>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tatus"/>
          <w:p>
            <w:pPr>
              <w:pStyle w:val="Compact"/>
              <w:jc w:val="center"/>
            </w:pPr>
            <w:r>
              <w:drawing>
                <wp:inline>
                  <wp:extent cx="5943600" cy="6298773"/>
                  <wp:effectExtent b="0" l="0" r="0" t="0"/>
                  <wp:docPr descr="" title="" id="38" name="Picture"/>
                  <a:graphic>
                    <a:graphicData uri="http://schemas.openxmlformats.org/drawingml/2006/picture">
                      <pic:pic>
                        <pic:nvPicPr>
                          <pic:cNvPr descr="report_photos/gems_status.png" id="39" name="Picture"/>
                          <pic:cNvPicPr>
                            <a:picLocks noChangeArrowheads="1" noChangeAspect="1"/>
                          </pic:cNvPicPr>
                        </pic:nvPicPr>
                        <pic:blipFill>
                          <a:blip r:embed="rId37"/>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lander"/>
          <w:p>
            <w:pPr>
              <w:pStyle w:val="Compact"/>
              <w:jc w:val="center"/>
            </w:pPr>
            <w:r>
              <w:drawing>
                <wp:inline>
                  <wp:extent cx="4754880" cy="6294577"/>
                  <wp:effectExtent b="0" l="0" r="0" t="0"/>
                  <wp:docPr descr="" title="" id="42" name="Picture"/>
                  <a:graphic>
                    <a:graphicData uri="http://schemas.openxmlformats.org/drawingml/2006/picture">
                      <pic:pic>
                        <pic:nvPicPr>
                          <pic:cNvPr descr="report_photos/gems_lander.jpg" id="43" name="Picture"/>
                          <pic:cNvPicPr>
                            <a:picLocks noChangeArrowheads="1" noChangeAspect="1"/>
                          </pic:cNvPicPr>
                        </pic:nvPicPr>
                        <pic:blipFill>
                          <a:blip r:embed="rId41"/>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fig-deployment"/>
          <w:p>
            <w:pPr>
              <w:pStyle w:val="Compact"/>
              <w:jc w:val="center"/>
            </w:pPr>
            <w:r>
              <w:drawing>
                <wp:inline>
                  <wp:extent cx="5943600" cy="5191298"/>
                  <wp:effectExtent b="0" l="0" r="0" t="0"/>
                  <wp:docPr descr="" title="" id="46" name="Picture"/>
                  <a:graphic>
                    <a:graphicData uri="http://schemas.openxmlformats.org/drawingml/2006/picture">
                      <pic:pic>
                        <pic:nvPicPr>
                          <pic:cNvPr descr="report_photos/gems_deployment.jpg" id="47" name="Picture"/>
                          <pic:cNvPicPr>
                            <a:picLocks noChangeArrowheads="1" noChangeAspect="1"/>
                          </pic:cNvPicPr>
                        </pic:nvPicPr>
                        <pic:blipFill>
                          <a:blip r:embed="rId45"/>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deployment-2025"/>
          <w:p>
            <w:pPr>
              <w:pStyle w:val="Compact"/>
              <w:jc w:val="center"/>
            </w:pPr>
            <w:r>
              <w:drawing>
                <wp:inline>
                  <wp:extent cx="5943600" cy="3528697"/>
                  <wp:effectExtent b="0" l="0" r="0" t="0"/>
                  <wp:docPr descr="" title="" id="50" name="Picture"/>
                  <a:graphic>
                    <a:graphicData uri="http://schemas.openxmlformats.org/drawingml/2006/picture">
                      <pic:pic>
                        <pic:nvPicPr>
                          <pic:cNvPr descr="report_photos/gems_deployment_2025.jpg" id="51" name="Picture"/>
                          <pic:cNvPicPr>
                            <a:picLocks noChangeArrowheads="1" noChangeAspect="1"/>
                          </pic:cNvPicPr>
                        </pic:nvPicPr>
                        <pic:blipFill>
                          <a:blip r:embed="rId49"/>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above the lander deployment location.</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label-setup"/>
          <w:p>
            <w:pPr>
              <w:pStyle w:val="Compact"/>
              <w:jc w:val="center"/>
            </w:pPr>
            <w:r>
              <w:drawing>
                <wp:inline>
                  <wp:extent cx="4160520" cy="6534352"/>
                  <wp:effectExtent b="0" l="0" r="0" t="0"/>
                  <wp:docPr descr="" title="" id="54" name="Picture"/>
                  <a:graphic>
                    <a:graphicData uri="http://schemas.openxmlformats.org/drawingml/2006/picture">
                      <pic:pic>
                        <pic:nvPicPr>
                          <pic:cNvPr descr="report_photos/gems_dn_chamber.png" id="55" name="Picture"/>
                          <pic:cNvPicPr>
                            <a:picLocks noChangeArrowheads="1" noChangeAspect="1"/>
                          </pic:cNvPicPr>
                        </pic:nvPicPr>
                        <pic:blipFill>
                          <a:blip r:embed="rId53"/>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set up for measurement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5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0" w:name="fig-label-evolution"/>
          <w:p>
            <w:pPr>
              <w:pStyle w:val="Compact"/>
              <w:jc w:val="center"/>
            </w:pPr>
            <w:r>
              <w:drawing>
                <wp:inline>
                  <wp:extent cx="5943600" cy="3669937"/>
                  <wp:effectExtent b="0" l="0" r="0" t="0"/>
                  <wp:docPr descr="" title="" id="58" name="Picture"/>
                  <a:graphic>
                    <a:graphicData uri="http://schemas.openxmlformats.org/drawingml/2006/picture">
                      <pic:pic>
                        <pic:nvPicPr>
                          <pic:cNvPr descr="report_photos/n15_label_evolution.png" id="59" name="Picture"/>
                          <pic:cNvPicPr>
                            <a:picLocks noChangeArrowheads="1" noChangeAspect="1"/>
                          </pic:cNvPicPr>
                        </pic:nvPicPr>
                        <pic:blipFill>
                          <a:blip r:embed="rId57"/>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7: Evolution through time of single- and doubly-labeled nitrogen and argon tracers during a denitrification experiment in an eelgrass mesocosm.</w:t>
            </w:r>
          </w:p>
          <w:bookmarkEnd w:id="6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dn-rates"/>
          <w:p>
            <w:pPr>
              <w:pStyle w:val="Compact"/>
              <w:jc w:val="center"/>
            </w:pPr>
            <w:r>
              <w:drawing>
                <wp:inline>
                  <wp:extent cx="5943600" cy="3669937"/>
                  <wp:effectExtent b="0" l="0" r="0" t="0"/>
                  <wp:docPr descr="" title="" id="62" name="Picture"/>
                  <a:graphic>
                    <a:graphicData uri="http://schemas.openxmlformats.org/drawingml/2006/picture">
                      <pic:pic>
                        <pic:nvPicPr>
                          <pic:cNvPr descr="report_photos/crate_dn_comparison.png" id="63" name="Picture"/>
                          <pic:cNvPicPr>
                            <a:picLocks noChangeArrowheads="1" noChangeAspect="1"/>
                          </pic:cNvPicPr>
                        </pic:nvPicPr>
                        <pic:blipFill>
                          <a:blip r:embed="rId61"/>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8: Denitrification rates for three replicates of 4 experimental treatments at different time 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2021-gradients"/>
          <w:p>
            <w:pPr>
              <w:pStyle w:val="Compact"/>
              <w:jc w:val="center"/>
            </w:pPr>
            <w:r>
              <w:drawing>
                <wp:inline>
                  <wp:extent cx="5943600" cy="3901626"/>
                  <wp:effectExtent b="0" l="0" r="0" t="0"/>
                  <wp:docPr descr="" title="" id="66" name="Picture"/>
                  <a:graphic>
                    <a:graphicData uri="http://schemas.openxmlformats.org/drawingml/2006/picture">
                      <pic:pic>
                        <pic:nvPicPr>
                          <pic:cNvPr descr="report_photos/gradients_2021.png" id="67" name="Picture"/>
                          <pic:cNvPicPr>
                            <a:picLocks noChangeArrowheads="1" noChangeAspect="1"/>
                          </pic:cNvPicPr>
                        </pic:nvPicPr>
                        <pic:blipFill>
                          <a:blip r:embed="rId65"/>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believe this indicates mass interference with oxygen in the QMS.</w:t>
            </w:r>
          </w:p>
          <w:bookmarkEnd w:id="68"/>
        </w:tc>
      </w:tr>
    </w:tbl>
    <w:p>
      <w:r>
        <w:br w:type="page"/>
      </w:r>
    </w:p>
    <w:tbl>
      <w:tblPr>
        <w:tblStyle w:val="Table"/>
        <w:tblW w:type="pct" w:w="5000"/>
        <w:tblLayout w:type="fixed"/>
        <w:tblLook w:firstRow="0" w:lastRow="0" w:firstColumn="0" w:lastColumn="0" w:noHBand="0" w:noVBand="0" w:val="0000"/>
      </w:tblPr>
      <w:tblGrid>
        <w:gridCol w:w="7920"/>
      </w:tblGrid>
      <w:tr>
        <w:tc>
          <w:tcPr/>
          <w:bookmarkStart w:id="72" w:name="fig-mass-trace"/>
          <w:p>
            <w:pPr>
              <w:pStyle w:val="Compact"/>
              <w:jc w:val="center"/>
            </w:pPr>
            <w:r>
              <w:drawing>
                <wp:inline>
                  <wp:extent cx="5943600" cy="6537960"/>
                  <wp:effectExtent b="0" l="0" r="0" t="0"/>
                  <wp:docPr descr="" title="" id="70" name="Picture"/>
                  <a:graphic>
                    <a:graphicData uri="http://schemas.openxmlformats.org/drawingml/2006/picture">
                      <pic:pic>
                        <pic:nvPicPr>
                          <pic:cNvPr descr="gems_final_nsf_report_files/figure-docx/fig-mass-trace-1.png" id="71" name="Picture"/>
                          <pic:cNvPicPr>
                            <a:picLocks noChangeArrowheads="1" noChangeAspect="1"/>
                          </pic:cNvPicPr>
                        </pic:nvPicPr>
                        <pic:blipFill>
                          <a:blip r:embed="rId69"/>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72"/>
        </w:tc>
      </w:tr>
    </w:tbl>
    <w:p>
      <w:r>
        <w:br w:type="page"/>
      </w:r>
    </w:p>
    <w:tbl>
      <w:tblPr>
        <w:tblStyle w:val="Table"/>
        <w:tblW w:type="pct" w:w="5000"/>
        <w:tblLayout w:type="fixed"/>
        <w:tblLook w:firstRow="0" w:lastRow="0" w:firstColumn="0" w:lastColumn="0" w:noHBand="0" w:noVBand="0" w:val="0000"/>
      </w:tblPr>
      <w:tblGrid>
        <w:gridCol w:w="7920"/>
      </w:tblGrid>
      <w:tr>
        <w:tc>
          <w:tcPr/>
          <w:bookmarkStart w:id="76" w:name="fig-noise-comparison"/>
          <w:p>
            <w:pPr>
              <w:pStyle w:val="Compact"/>
              <w:jc w:val="center"/>
            </w:pPr>
            <w:r>
              <w:drawing>
                <wp:inline>
                  <wp:extent cx="5943600" cy="4754880"/>
                  <wp:effectExtent b="0" l="0" r="0" t="0"/>
                  <wp:docPr descr="" title="" id="74" name="Picture"/>
                  <a:graphic>
                    <a:graphicData uri="http://schemas.openxmlformats.org/drawingml/2006/picture">
                      <pic:pic>
                        <pic:nvPicPr>
                          <pic:cNvPr descr="gems_final_nsf_report_files/figure-docx/fig-noise-comparis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argon-norm"/>
          <w:p>
            <w:pPr>
              <w:pStyle w:val="Compact"/>
              <w:jc w:val="center"/>
            </w:pPr>
            <w:r>
              <w:drawing>
                <wp:inline>
                  <wp:extent cx="5943600" cy="4754880"/>
                  <wp:effectExtent b="0" l="0" r="0" t="0"/>
                  <wp:docPr descr="" title="" id="78" name="Picture"/>
                  <a:graphic>
                    <a:graphicData uri="http://schemas.openxmlformats.org/drawingml/2006/picture">
                      <pic:pic>
                        <pic:nvPicPr>
                          <pic:cNvPr descr="gems_final_nsf_report_files/figure-docx/fig-argon-norm-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80"/>
        </w:tc>
      </w:tr>
    </w:tbl>
    <w:p>
      <w:r>
        <w:br w:type="page"/>
      </w:r>
    </w:p>
    <w:tbl>
      <w:tblPr>
        <w:tblStyle w:val="Table"/>
        <w:tblW w:type="pct" w:w="5000"/>
        <w:tblLayout w:type="fixed"/>
        <w:tblLook w:firstRow="0" w:lastRow="0" w:firstColumn="0" w:lastColumn="0" w:noHBand="0" w:noVBand="0" w:val="0000"/>
      </w:tblPr>
      <w:tblGrid>
        <w:gridCol w:w="7920"/>
      </w:tblGrid>
      <w:tr>
        <w:tc>
          <w:tcPr/>
          <w:bookmarkStart w:id="84" w:name="fig-oxygen-long"/>
          <w:p>
            <w:pPr>
              <w:pStyle w:val="Compact"/>
              <w:jc w:val="center"/>
            </w:pPr>
            <w:r>
              <w:drawing>
                <wp:inline>
                  <wp:extent cx="5943600" cy="4754880"/>
                  <wp:effectExtent b="0" l="0" r="0" t="0"/>
                  <wp:docPr descr="" title="" id="82" name="Picture"/>
                  <a:graphic>
                    <a:graphicData uri="http://schemas.openxmlformats.org/drawingml/2006/picture">
                      <pic:pic>
                        <pic:nvPicPr>
                          <pic:cNvPr descr="gems_final_nsf_report_files/figure-docx/fig-oxygen-long-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84"/>
        </w:tc>
      </w:tr>
    </w:tbl>
    <w:tbl>
      <w:tblPr>
        <w:tblStyle w:val="Table"/>
        <w:tblW w:type="pct" w:w="5000"/>
        <w:tblLayout w:type="fixed"/>
        <w:tblLook w:firstRow="0" w:lastRow="0" w:firstColumn="0" w:lastColumn="0" w:noHBand="0" w:noVBand="0" w:val="0000"/>
      </w:tblPr>
      <w:tblGrid>
        <w:gridCol w:w="7920"/>
      </w:tblGrid>
      <w:tr>
        <w:tc>
          <w:tcPr/>
          <w:bookmarkStart w:id="88" w:name="fig-oxygen-short"/>
          <w:p>
            <w:pPr>
              <w:pStyle w:val="Compact"/>
              <w:jc w:val="center"/>
            </w:pPr>
            <w:r>
              <w:drawing>
                <wp:inline>
                  <wp:extent cx="5943600" cy="4754880"/>
                  <wp:effectExtent b="0" l="0" r="0" t="0"/>
                  <wp:docPr descr="" title="" id="86" name="Picture"/>
                  <a:graphic>
                    <a:graphicData uri="http://schemas.openxmlformats.org/drawingml/2006/picture">
                      <pic:pic>
                        <pic:nvPicPr>
                          <pic:cNvPr descr="gems_final_nsf_report_files/figure-docx/fig-oxygen-short-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8"/>
        </w:tc>
      </w:tr>
    </w:tbl>
    <w:p>
      <w:r>
        <w:br w:type="page"/>
      </w:r>
    </w:p>
    <w:tbl>
      <w:tblPr>
        <w:tblStyle w:val="Table"/>
        <w:tblW w:type="pct" w:w="5000"/>
        <w:tblLayout w:type="fixed"/>
        <w:tblLook w:firstRow="0" w:lastRow="0" w:firstColumn="0" w:lastColumn="0" w:noHBand="0" w:noVBand="0" w:val="0000"/>
      </w:tblPr>
      <w:tblGrid>
        <w:gridCol w:w="7920"/>
      </w:tblGrid>
      <w:tr>
        <w:tc>
          <w:tcPr/>
          <w:bookmarkStart w:id="92" w:name="fig-cal"/>
          <w:p>
            <w:pPr>
              <w:pStyle w:val="Compact"/>
              <w:jc w:val="center"/>
            </w:pPr>
            <w:r>
              <w:drawing>
                <wp:inline>
                  <wp:extent cx="5943600" cy="4754880"/>
                  <wp:effectExtent b="0" l="0" r="0" t="0"/>
                  <wp:docPr descr="" title="" id="90" name="Picture"/>
                  <a:graphic>
                    <a:graphicData uri="http://schemas.openxmlformats.org/drawingml/2006/picture">
                      <pic:pic>
                        <pic:nvPicPr>
                          <pic:cNvPr descr="gems_final_nsf_report_files/figure-docx/fig-cal-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92"/>
        </w:tc>
      </w:tr>
    </w:tbl>
    <w:p>
      <w:r>
        <w:br w:type="page"/>
      </w:r>
    </w:p>
    <w:tbl>
      <w:tblPr>
        <w:tblStyle w:val="Table"/>
        <w:tblW w:type="pct" w:w="5000"/>
        <w:tblLayout w:type="fixed"/>
        <w:tblLook w:firstRow="0" w:lastRow="0" w:firstColumn="0" w:lastColumn="0" w:noHBand="0" w:noVBand="0" w:val="0000"/>
      </w:tblPr>
      <w:tblGrid>
        <w:gridCol w:w="7920"/>
      </w:tblGrid>
      <w:tr>
        <w:tc>
          <w:tcPr/>
          <w:bookmarkStart w:id="96" w:name="fig-cal-timeseries"/>
          <w:p>
            <w:pPr>
              <w:pStyle w:val="Compact"/>
              <w:jc w:val="center"/>
            </w:pPr>
            <w:r>
              <w:drawing>
                <wp:inline>
                  <wp:extent cx="5943600" cy="4754880"/>
                  <wp:effectExtent b="0" l="0" r="0" t="0"/>
                  <wp:docPr descr="" title="" id="94" name="Picture"/>
                  <a:graphic>
                    <a:graphicData uri="http://schemas.openxmlformats.org/drawingml/2006/picture">
                      <pic:pic>
                        <pic:nvPicPr>
                          <pic:cNvPr descr="gems_final_nsf_report_files/figure-docx/fig-cal-timeseries-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6"/>
        </w:tc>
      </w:tr>
    </w:tbl>
    <w:p>
      <w:r>
        <w:br w:type="page"/>
      </w:r>
    </w:p>
    <w:tbl>
      <w:tblPr>
        <w:tblStyle w:val="Table"/>
        <w:tblW w:type="pct" w:w="5000"/>
        <w:tblLayout w:type="fixed"/>
        <w:tblLook w:firstRow="0" w:lastRow="0" w:firstColumn="0" w:lastColumn="0" w:noHBand="0" w:noVBand="0" w:val="0000"/>
      </w:tblPr>
      <w:tblGrid>
        <w:gridCol w:w="7920"/>
      </w:tblGrid>
      <w:tr>
        <w:tc>
          <w:tcPr/>
          <w:bookmarkStart w:id="100" w:name="fig-flux-timeseries"/>
          <w:p>
            <w:pPr>
              <w:pStyle w:val="Compact"/>
              <w:jc w:val="center"/>
            </w:pPr>
            <w:r>
              <w:drawing>
                <wp:inline>
                  <wp:extent cx="5943600" cy="6537960"/>
                  <wp:effectExtent b="0" l="0" r="0" t="0"/>
                  <wp:docPr descr="" title="" id="98" name="Picture"/>
                  <a:graphic>
                    <a:graphicData uri="http://schemas.openxmlformats.org/drawingml/2006/picture">
                      <pic:pic>
                        <pic:nvPicPr>
                          <pic:cNvPr descr="gems_final_nsf_report_files/figure-docx/fig-flux-timeseries-1.png" id="99" name="Picture"/>
                          <pic:cNvPicPr>
                            <a:picLocks noChangeArrowheads="1" noChangeAspect="1"/>
                          </pic:cNvPicPr>
                        </pic:nvPicPr>
                        <pic:blipFill>
                          <a:blip r:embed="rId9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flux-zoom"/>
          <w:p>
            <w:pPr>
              <w:pStyle w:val="Compact"/>
              <w:jc w:val="center"/>
            </w:pPr>
            <w:r>
              <w:drawing>
                <wp:inline>
                  <wp:extent cx="5943600" cy="4754880"/>
                  <wp:effectExtent b="0" l="0" r="0" t="0"/>
                  <wp:docPr descr="" title="" id="102" name="Picture"/>
                  <a:graphic>
                    <a:graphicData uri="http://schemas.openxmlformats.org/drawingml/2006/picture">
                      <pic:pic>
                        <pic:nvPicPr>
                          <pic:cNvPr descr="gems_final_nsf_report_files/figure-docx/fig-flux-zoom-1.png" id="103" name="Picture"/>
                          <pic:cNvPicPr>
                            <a:picLocks noChangeArrowheads="1" noChangeAspect="1"/>
                          </pic:cNvPicPr>
                        </pic:nvPicPr>
                        <pic:blipFill>
                          <a:blip r:embed="rId10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104"/>
        </w:tc>
      </w:tr>
    </w:tbl>
    <w:p>
      <w:r>
        <w:br w:type="page"/>
      </w:r>
    </w:p>
    <w:tbl>
      <w:tblPr>
        <w:tblStyle w:val="Table"/>
        <w:tblW w:type="pct" w:w="5000"/>
        <w:tblLayout w:type="fixed"/>
        <w:tblLook w:firstRow="0" w:lastRow="0" w:firstColumn="0" w:lastColumn="0" w:noHBand="0" w:noVBand="0" w:val="0000"/>
      </w:tblPr>
      <w:tblGrid>
        <w:gridCol w:w="7920"/>
      </w:tblGrid>
      <w:tr>
        <w:tc>
          <w:tcPr/>
          <w:bookmarkStart w:id="108" w:name="fig-gradient-diel"/>
          <w:p>
            <w:pPr>
              <w:pStyle w:val="Compact"/>
              <w:jc w:val="center"/>
            </w:pPr>
            <w:r>
              <w:drawing>
                <wp:inline>
                  <wp:extent cx="5943600" cy="5943600"/>
                  <wp:effectExtent b="0" l="0" r="0" t="0"/>
                  <wp:docPr descr="" title="" id="106" name="Picture"/>
                  <a:graphic>
                    <a:graphicData uri="http://schemas.openxmlformats.org/drawingml/2006/picture">
                      <pic:pic>
                        <pic:nvPicPr>
                          <pic:cNvPr descr="gems_final_nsf_report_files/figure-docx/fig-gradient-diel-1.png" id="107" name="Picture"/>
                          <pic:cNvPicPr>
                            <a:picLocks noChangeArrowheads="1" noChangeAspect="1"/>
                          </pic:cNvPicPr>
                        </pic:nvPicPr>
                        <pic:blipFill>
                          <a:blip r:embed="rId10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8"/>
        </w:tc>
      </w:tr>
    </w:tbl>
    <w:p>
      <w:r>
        <w:br w:type="page"/>
      </w:r>
    </w:p>
    <w:tbl>
      <w:tblPr>
        <w:tblStyle w:val="Table"/>
        <w:tblW w:type="pct" w:w="5000"/>
        <w:tblLayout w:type="fixed"/>
        <w:tblLook w:firstRow="0" w:lastRow="0" w:firstColumn="0" w:lastColumn="0" w:noHBand="0" w:noVBand="0" w:val="0000"/>
      </w:tblPr>
      <w:tblGrid>
        <w:gridCol w:w="7920"/>
      </w:tblGrid>
      <w:tr>
        <w:tc>
          <w:tcPr/>
          <w:bookmarkStart w:id="112" w:name="fig-flux-diel"/>
          <w:p>
            <w:pPr>
              <w:pStyle w:val="Compact"/>
              <w:jc w:val="center"/>
            </w:pPr>
            <w:r>
              <w:drawing>
                <wp:inline>
                  <wp:extent cx="5943600" cy="5943600"/>
                  <wp:effectExtent b="0" l="0" r="0" t="0"/>
                  <wp:docPr descr="" title="" id="110" name="Picture"/>
                  <a:graphic>
                    <a:graphicData uri="http://schemas.openxmlformats.org/drawingml/2006/picture">
                      <pic:pic>
                        <pic:nvPicPr>
                          <pic:cNvPr descr="gems_final_nsf_report_files/figure-docx/fig-flux-diel-1.png" id="111" name="Picture"/>
                          <pic:cNvPicPr>
                            <a:picLocks noChangeArrowheads="1" noChangeAspect="1"/>
                          </pic:cNvPicPr>
                        </pic:nvPicPr>
                        <pic:blipFill>
                          <a:blip r:embed="rId10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12"/>
        </w:tc>
      </w:tr>
    </w:tbl>
    <w:tbl>
      <w:tblPr>
        <w:tblStyle w:val="Table"/>
        <w:tblW w:type="pct" w:w="5000"/>
        <w:tblLayout w:type="fixed"/>
        <w:tblLook w:firstRow="0" w:lastRow="0" w:firstColumn="0" w:lastColumn="0" w:noHBand="0" w:noVBand="0" w:val="0000"/>
      </w:tblPr>
      <w:tblGrid>
        <w:gridCol w:w="7920"/>
      </w:tblGrid>
      <w:tr>
        <w:tc>
          <w:tcPr/>
          <w:bookmarkStart w:id="116" w:name="fig-co2-diel"/>
          <w:p>
            <w:pPr>
              <w:pStyle w:val="Compact"/>
              <w:jc w:val="center"/>
            </w:pPr>
            <w:r>
              <w:drawing>
                <wp:inline>
                  <wp:extent cx="5943600" cy="6537960"/>
                  <wp:effectExtent b="0" l="0" r="0" t="0"/>
                  <wp:docPr descr="" title="" id="114" name="Picture"/>
                  <a:graphic>
                    <a:graphicData uri="http://schemas.openxmlformats.org/drawingml/2006/picture">
                      <pic:pic>
                        <pic:nvPicPr>
                          <pic:cNvPr descr="gems_final_nsf_report_files/figure-docx/fig-co2-diel-1.png" id="115" name="Picture"/>
                          <pic:cNvPicPr>
                            <a:picLocks noChangeArrowheads="1" noChangeAspect="1"/>
                          </pic:cNvPicPr>
                        </pic:nvPicPr>
                        <pic:blipFill>
                          <a:blip r:embed="rId11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co2-vs-o2"/>
          <w:p>
            <w:pPr>
              <w:pStyle w:val="Compact"/>
              <w:jc w:val="center"/>
            </w:pPr>
            <w:r>
              <w:drawing>
                <wp:inline>
                  <wp:extent cx="5943600" cy="3566160"/>
                  <wp:effectExtent b="0" l="0" r="0" t="0"/>
                  <wp:docPr descr="" title="" id="118" name="Picture"/>
                  <a:graphic>
                    <a:graphicData uri="http://schemas.openxmlformats.org/drawingml/2006/picture">
                      <pic:pic>
                        <pic:nvPicPr>
                          <pic:cNvPr descr="gems_final_nsf_report_files/figure-docx/fig-co2-vs-o2-1.png" id="119" name="Picture"/>
                          <pic:cNvPicPr>
                            <a:picLocks noChangeArrowheads="1" noChangeAspect="1"/>
                          </pic:cNvPicPr>
                        </pic:nvPicPr>
                        <pic:blipFill>
                          <a:blip r:embed="rId11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20"/>
        </w:tc>
      </w:tr>
    </w:tbl>
    <w:tbl>
      <w:tblPr>
        <w:tblStyle w:val="Table"/>
        <w:tblW w:type="pct" w:w="5000"/>
        <w:tblLayout w:type="fixed"/>
        <w:tblLook w:firstRow="0" w:lastRow="0" w:firstColumn="0" w:lastColumn="0" w:noHBand="0" w:noVBand="0" w:val="0000"/>
      </w:tblPr>
      <w:tblGrid>
        <w:gridCol w:w="7920"/>
      </w:tblGrid>
      <w:tr>
        <w:tc>
          <w:tcPr/>
          <w:bookmarkStart w:id="124" w:name="fig-flux-diel-monthly"/>
          <w:p>
            <w:pPr>
              <w:pStyle w:val="Compact"/>
              <w:jc w:val="center"/>
            </w:pPr>
            <w:r>
              <w:drawing>
                <wp:inline>
                  <wp:extent cx="5943600" cy="5943600"/>
                  <wp:effectExtent b="0" l="0" r="0" t="0"/>
                  <wp:docPr descr="" title="" id="122" name="Picture"/>
                  <a:graphic>
                    <a:graphicData uri="http://schemas.openxmlformats.org/drawingml/2006/picture">
                      <pic:pic>
                        <pic:nvPicPr>
                          <pic:cNvPr descr="gems_final_nsf_report_files/figure-docx/fig-flux-diel-monthly-1.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24"/>
        </w:tc>
      </w:tr>
    </w:tbl>
    <w:p>
      <w:r>
        <w:br w:type="page"/>
      </w:r>
    </w:p>
    <w:tbl>
      <w:tblPr>
        <w:tblStyle w:val="Table"/>
        <w:tblW w:type="pct" w:w="5000"/>
        <w:tblLayout w:type="fixed"/>
        <w:tblLook w:firstRow="0" w:lastRow="0" w:firstColumn="0" w:lastColumn="0" w:noHBand="0" w:noVBand="0" w:val="0000"/>
      </w:tblPr>
      <w:tblGrid>
        <w:gridCol w:w="7920"/>
      </w:tblGrid>
      <w:tr>
        <w:tc>
          <w:tcPr/>
          <w:bookmarkStart w:id="128" w:name="fig-flux-nem-hourly"/>
          <w:p>
            <w:pPr>
              <w:pStyle w:val="Compact"/>
              <w:jc w:val="center"/>
            </w:pPr>
            <w:r>
              <w:drawing>
                <wp:inline>
                  <wp:extent cx="5943600" cy="3268980"/>
                  <wp:effectExtent b="0" l="0" r="0" t="0"/>
                  <wp:docPr descr="" title="" id="126" name="Picture"/>
                  <a:graphic>
                    <a:graphicData uri="http://schemas.openxmlformats.org/drawingml/2006/picture">
                      <pic:pic>
                        <pic:nvPicPr>
                          <pic:cNvPr descr="gems_final_nsf_report_files/figure-docx/fig-flux-nem-hourly-1.png" id="127" name="Picture"/>
                          <pic:cNvPicPr>
                            <a:picLocks noChangeArrowheads="1" noChangeAspect="1"/>
                          </pic:cNvPicPr>
                        </pic:nvPicPr>
                        <pic:blipFill>
                          <a:blip r:embed="rId125"/>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month for the deployment period to provide an estimate of net ecosystem metabolism (NEM). The benthic system at Naushon Island is close to net neutral over time.</w:t>
            </w:r>
          </w:p>
          <w:bookmarkEnd w:id="128"/>
        </w:tc>
      </w:tr>
    </w:tbl>
    <w:tbl>
      <w:tblPr>
        <w:tblStyle w:val="Table"/>
        <w:tblW w:type="pct" w:w="5000"/>
        <w:tblLayout w:type="fixed"/>
        <w:tblLook w:firstRow="0" w:lastRow="0" w:firstColumn="0" w:lastColumn="0" w:noHBand="0" w:noVBand="0" w:val="0000"/>
      </w:tblPr>
      <w:tblGrid>
        <w:gridCol w:w="7920"/>
      </w:tblGrid>
      <w:tr>
        <w:tc>
          <w:tcPr/>
          <w:bookmarkStart w:id="132" w:name="fig-flux-nem-monthly"/>
          <w:p>
            <w:pPr>
              <w:pStyle w:val="Compact"/>
              <w:jc w:val="center"/>
            </w:pPr>
            <w:r>
              <w:drawing>
                <wp:inline>
                  <wp:extent cx="5943600" cy="3268980"/>
                  <wp:effectExtent b="0" l="0" r="0" t="0"/>
                  <wp:docPr descr="" title="" id="130" name="Picture"/>
                  <a:graphic>
                    <a:graphicData uri="http://schemas.openxmlformats.org/drawingml/2006/picture">
                      <pic:pic>
                        <pic:nvPicPr>
                          <pic:cNvPr descr="gems_final_nsf_report_files/figure-docx/fig-flux-nem-monthly-1.png" id="131" name="Picture"/>
                          <pic:cNvPicPr>
                            <a:picLocks noChangeArrowheads="1" noChangeAspect="1"/>
                          </pic:cNvPicPr>
                        </pic:nvPicPr>
                        <pic:blipFill>
                          <a:blip r:embed="rId12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Daily-integrated NEM for the deployment period. Daily NEM is variable, but is close to net-neutral over time.</w:t>
            </w:r>
          </w:p>
          <w:bookmarkEnd w:id="132"/>
        </w:tc>
      </w:tr>
    </w:tbl>
    <w:p>
      <w:r>
        <w:br w:type="page"/>
      </w:r>
    </w:p>
    <w:tbl>
      <w:tblPr>
        <w:tblStyle w:val="Table"/>
        <w:tblW w:type="pct" w:w="5000"/>
        <w:tblLayout w:type="fixed"/>
        <w:tblLook w:firstRow="0" w:lastRow="0" w:firstColumn="0" w:lastColumn="0" w:noHBand="0" w:noVBand="0" w:val="0000"/>
      </w:tblPr>
      <w:tblGrid>
        <w:gridCol w:w="7920"/>
      </w:tblGrid>
      <w:tr>
        <w:tc>
          <w:tcPr/>
          <w:bookmarkStart w:id="136" w:name="fig-eelgrass"/>
          <w:p>
            <w:pPr>
              <w:pStyle w:val="Compact"/>
              <w:jc w:val="center"/>
            </w:pPr>
            <w:r>
              <w:drawing>
                <wp:inline>
                  <wp:extent cx="5943600" cy="7132320"/>
                  <wp:effectExtent b="0" l="0" r="0" t="0"/>
                  <wp:docPr descr="" title="" id="134" name="Picture"/>
                  <a:graphic>
                    <a:graphicData uri="http://schemas.openxmlformats.org/drawingml/2006/picture">
                      <pic:pic>
                        <pic:nvPicPr>
                          <pic:cNvPr descr="gems_final_nsf_report_files/figure-docx/fig-eelgrass-1.png" id="135" name="Picture"/>
                          <pic:cNvPicPr>
                            <a:picLocks noChangeArrowheads="1" noChangeAspect="1"/>
                          </pic:cNvPicPr>
                        </pic:nvPicPr>
                        <pic:blipFill>
                          <a:blip r:embed="rId133"/>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6"/>
        </w:tc>
      </w:tr>
    </w:tbl>
    <w:bookmarkStart w:id="151" w:name="refs"/>
    <w:bookmarkStart w:id="138"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7">
        <w:r>
          <w:rPr>
            <w:rStyle w:val="Hyperlink"/>
          </w:rPr>
          <w:t xml:space="preserve">https://doi.org/10.4319/lo.1969.14.3.0454</w:t>
        </w:r>
      </w:hyperlink>
      <w:r>
        <w:t xml:space="preserve">.</w:t>
      </w:r>
    </w:p>
    <w:bookmarkEnd w:id="138"/>
    <w:bookmarkStart w:id="140"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9">
        <w:r>
          <w:rPr>
            <w:rStyle w:val="Hyperlink"/>
          </w:rPr>
          <w:t xml:space="preserve">https://doi.org/10.1002/lom3.10482</w:t>
        </w:r>
      </w:hyperlink>
      <w:r>
        <w:t xml:space="preserve">.</w:t>
      </w:r>
    </w:p>
    <w:bookmarkEnd w:id="140"/>
    <w:bookmarkStart w:id="142"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41">
        <w:r>
          <w:rPr>
            <w:rStyle w:val="Hyperlink"/>
          </w:rPr>
          <w:t xml:space="preserve">https://doi.org/10.1029/2020JC016637</w:t>
        </w:r>
      </w:hyperlink>
      <w:r>
        <w:t xml:space="preserve">.</w:t>
      </w:r>
    </w:p>
    <w:bookmarkEnd w:id="142"/>
    <w:bookmarkStart w:id="144"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43">
        <w:r>
          <w:rPr>
            <w:rStyle w:val="Hyperlink"/>
          </w:rPr>
          <w:t xml:space="preserve">https://doi.org/10.1029/2010GL046179</w:t>
        </w:r>
      </w:hyperlink>
      <w:r>
        <w:t xml:space="preserve">.</w:t>
      </w:r>
    </w:p>
    <w:bookmarkEnd w:id="144"/>
    <w:bookmarkStart w:id="146"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45">
        <w:r>
          <w:rPr>
            <w:rStyle w:val="Hyperlink"/>
          </w:rPr>
          <w:t xml:space="preserve">https://doi.org/10.1002/2016JC011886</w:t>
        </w:r>
      </w:hyperlink>
      <w:r>
        <w:t xml:space="preserve">.</w:t>
      </w:r>
    </w:p>
    <w:bookmarkEnd w:id="146"/>
    <w:bookmarkStart w:id="148"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7">
        <w:r>
          <w:rPr>
            <w:rStyle w:val="Hyperlink"/>
          </w:rPr>
          <w:t xml:space="preserve">https://doi.org/10.1038/ngeo1183</w:t>
        </w:r>
      </w:hyperlink>
      <w:r>
        <w:t xml:space="preserve">.</w:t>
      </w:r>
    </w:p>
    <w:bookmarkEnd w:id="148"/>
    <w:bookmarkStart w:id="150"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9">
        <w:r>
          <w:rPr>
            <w:rStyle w:val="Hyperlink"/>
          </w:rPr>
          <w:t xml:space="preserve">https://doi.org/10.1016/j.dsr2.2010.05.009</w:t>
        </w:r>
      </w:hyperlink>
      <w:r>
        <w:t xml:space="preserve">.</w:t>
      </w:r>
    </w:p>
    <w:bookmarkEnd w:id="150"/>
    <w:bookmarkEnd w:id="151"/>
    <w:bookmarkEnd w:id="152"/>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45" Target="media/rId45.jpg" /><Relationship Type="http://schemas.openxmlformats.org/officeDocument/2006/relationships/image" Id="rId49" Target="media/rId49.jpg" /><Relationship Type="http://schemas.openxmlformats.org/officeDocument/2006/relationships/image" Id="rId53" Target="media/rId53.png" /><Relationship Type="http://schemas.openxmlformats.org/officeDocument/2006/relationships/image" Id="rId41" Target="media/rId41.jpg" /><Relationship Type="http://schemas.openxmlformats.org/officeDocument/2006/relationships/image" Id="rId37" Target="media/rId37.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hyperlink" Id="rId145" Target="https://doi.org/10.1002/2016JC011886" TargetMode="External" /><Relationship Type="http://schemas.openxmlformats.org/officeDocument/2006/relationships/hyperlink" Id="rId139" Target="https://doi.org/10.1002/lom3.10482" TargetMode="External" /><Relationship Type="http://schemas.openxmlformats.org/officeDocument/2006/relationships/hyperlink" Id="rId149" Target="https://doi.org/10.1016/j.dsr2.2010.05.009" TargetMode="External" /><Relationship Type="http://schemas.openxmlformats.org/officeDocument/2006/relationships/hyperlink" Id="rId143" Target="https://doi.org/10.1029/2010GL046179" TargetMode="External" /><Relationship Type="http://schemas.openxmlformats.org/officeDocument/2006/relationships/hyperlink" Id="rId141" Target="https://doi.org/10.1029/2020JC016637" TargetMode="External" /><Relationship Type="http://schemas.openxmlformats.org/officeDocument/2006/relationships/hyperlink" Id="rId147" Target="https://doi.org/10.1038/ngeo1183" TargetMode="External" /><Relationship Type="http://schemas.openxmlformats.org/officeDocument/2006/relationships/hyperlink" Id="rId137"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2016JC011886" TargetMode="External" /><Relationship Type="http://schemas.openxmlformats.org/officeDocument/2006/relationships/hyperlink" Id="rId139" Target="https://doi.org/10.1002/lom3.10482" TargetMode="External" /><Relationship Type="http://schemas.openxmlformats.org/officeDocument/2006/relationships/hyperlink" Id="rId149" Target="https://doi.org/10.1016/j.dsr2.2010.05.009" TargetMode="External" /><Relationship Type="http://schemas.openxmlformats.org/officeDocument/2006/relationships/hyperlink" Id="rId143" Target="https://doi.org/10.1029/2010GL046179" TargetMode="External" /><Relationship Type="http://schemas.openxmlformats.org/officeDocument/2006/relationships/hyperlink" Id="rId141" Target="https://doi.org/10.1029/2020JC016637" TargetMode="External" /><Relationship Type="http://schemas.openxmlformats.org/officeDocument/2006/relationships/hyperlink" Id="rId147" Target="https://doi.org/10.1038/ngeo1183" TargetMode="External" /><Relationship Type="http://schemas.openxmlformats.org/officeDocument/2006/relationships/hyperlink" Id="rId137"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membrane inlet mass spectrometry, seagrass, biogeochemistry, gradient flux, dissolved gases, coastal ecosystems, Zostera marina</cp:keywords>
  <dcterms:created xsi:type="dcterms:W3CDTF">2026-02-12T22:04:27Z</dcterms:created>
  <dcterms:modified xsi:type="dcterms:W3CDTF">2026-02-12T22:04:27Z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developed and deployed a membrane inlet quadrupole mass spectrometer (MIMS) system for continuous monitoring within a ~Zostera marina~ (eelgrass) meadow in Woods Hole, Massachusetts, USA. The benthic system measured dissolved O₂, CO₂, N₂, Ar, CH₄, and H₂S at two heights spaced ~1 m apart above the seagrass canopy, enabling vertical flux calculations using the gradient exchange method when combined with velocity measurements from an acoustic Doppler velocimeter (ADV). Data was remotely telemetered using GSM cellular communication to a web-based data store with real-time monitoring dashboard. Clear concentration gradients were observed for oxygen and carbon dioxide, showing diel cycles driven by insolation and tidal forcing. Gas species were normalized to argon to control for physical gas fluxes. Methane, nitrogen, and hydrogen sulfide measurements showed variability close to the detection limit of the instrument. The MIMS system demonstrated stable performance during deployments ranging from weeks to months, though operational challenges included biofouling management, calibration, and maintenance in the marine environment. This study demonstrates the potential of MIMS and the gradient flux method for continuous biogeochemical monitoring in coastal marine ecosystems, providing high-resolution temporal data on multiple dissolved gas species simultaneously. The gradient flux approach offers advantages over traditional benthic chamber methods by maintaining natural flow conditions while enabling ecosystem-scale process measurements.</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